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DF9" w:rsidRDefault="005F0DF9" w:rsidP="005F0DF9">
      <w:pPr>
        <w:spacing w:line="480" w:lineRule="auto"/>
        <w:jc w:val="center"/>
        <w:rPr>
          <w:rFonts w:cs="Times New Roman"/>
        </w:rPr>
      </w:pPr>
    </w:p>
    <w:p w:rsidR="00240385" w:rsidRDefault="00240385" w:rsidP="005F0DF9">
      <w:pPr>
        <w:spacing w:line="480" w:lineRule="auto"/>
        <w:jc w:val="center"/>
        <w:rPr>
          <w:rFonts w:cs="Times New Roman"/>
        </w:rPr>
      </w:pPr>
    </w:p>
    <w:p w:rsidR="00240385" w:rsidRDefault="00240385" w:rsidP="005F0DF9">
      <w:pPr>
        <w:spacing w:line="480" w:lineRule="auto"/>
        <w:jc w:val="center"/>
        <w:rPr>
          <w:rFonts w:cs="Times New Roman"/>
        </w:rPr>
      </w:pPr>
    </w:p>
    <w:p w:rsidR="005F0DF9" w:rsidRDefault="005F0DF9" w:rsidP="005F0DF9">
      <w:pPr>
        <w:spacing w:line="480" w:lineRule="auto"/>
        <w:jc w:val="center"/>
        <w:rPr>
          <w:rFonts w:cs="Times New Roman"/>
        </w:rPr>
      </w:pPr>
    </w:p>
    <w:p w:rsidR="005F0DF9" w:rsidRDefault="005F0DF9" w:rsidP="005F0DF9">
      <w:pPr>
        <w:spacing w:line="480" w:lineRule="auto"/>
        <w:jc w:val="center"/>
        <w:rPr>
          <w:rFonts w:cs="Times New Roman"/>
        </w:rPr>
      </w:pPr>
    </w:p>
    <w:p w:rsidR="005F0DF9" w:rsidRDefault="005F0DF9" w:rsidP="005F0DF9">
      <w:pPr>
        <w:spacing w:line="480" w:lineRule="auto"/>
        <w:jc w:val="center"/>
        <w:rPr>
          <w:rFonts w:cs="Times New Roman"/>
        </w:rPr>
      </w:pPr>
    </w:p>
    <w:p w:rsidR="005F0DF9" w:rsidRDefault="005F0DF9" w:rsidP="005F0DF9">
      <w:pPr>
        <w:spacing w:line="480" w:lineRule="auto"/>
        <w:jc w:val="center"/>
        <w:rPr>
          <w:rFonts w:cs="Times New Roman"/>
        </w:rPr>
      </w:pPr>
    </w:p>
    <w:p w:rsidR="00B43381" w:rsidRPr="005F0DF9" w:rsidRDefault="00B43381" w:rsidP="005F0DF9">
      <w:pPr>
        <w:spacing w:line="480" w:lineRule="auto"/>
        <w:jc w:val="center"/>
        <w:rPr>
          <w:rFonts w:cs="Times New Roman"/>
        </w:rPr>
      </w:pPr>
      <w:r w:rsidRPr="005F0DF9">
        <w:rPr>
          <w:rFonts w:cs="Times New Roman"/>
        </w:rPr>
        <w:t>Case 1 &amp; 2</w:t>
      </w:r>
    </w:p>
    <w:p w:rsidR="00B43381" w:rsidRPr="005F0DF9" w:rsidRDefault="00B43381" w:rsidP="005F0DF9">
      <w:pPr>
        <w:spacing w:line="480" w:lineRule="auto"/>
        <w:jc w:val="center"/>
        <w:rPr>
          <w:rFonts w:cs="Times New Roman"/>
        </w:rPr>
      </w:pPr>
      <w:r w:rsidRPr="005F0DF9">
        <w:rPr>
          <w:rFonts w:cs="Times New Roman"/>
        </w:rPr>
        <w:t>Name</w:t>
      </w:r>
    </w:p>
    <w:p w:rsidR="00B43381" w:rsidRPr="005F0DF9" w:rsidRDefault="00B43381" w:rsidP="005F0DF9">
      <w:pPr>
        <w:spacing w:line="480" w:lineRule="auto"/>
        <w:jc w:val="center"/>
        <w:rPr>
          <w:rFonts w:cs="Times New Roman"/>
        </w:rPr>
      </w:pPr>
      <w:r w:rsidRPr="005F0DF9">
        <w:rPr>
          <w:rFonts w:cs="Times New Roman"/>
        </w:rPr>
        <w:t>Institution</w:t>
      </w:r>
    </w:p>
    <w:p w:rsidR="00B43381" w:rsidRPr="005F0DF9" w:rsidRDefault="00B43381" w:rsidP="005F0DF9">
      <w:pPr>
        <w:spacing w:line="480" w:lineRule="auto"/>
        <w:jc w:val="center"/>
        <w:rPr>
          <w:rFonts w:cs="Times New Roman"/>
        </w:rPr>
      </w:pPr>
      <w:r w:rsidRPr="005F0DF9">
        <w:rPr>
          <w:rFonts w:cs="Times New Roman"/>
        </w:rPr>
        <w:t>Date</w:t>
      </w:r>
    </w:p>
    <w:p w:rsidR="005F0DF9" w:rsidRDefault="005F0DF9" w:rsidP="005F0DF9">
      <w:pPr>
        <w:spacing w:line="480" w:lineRule="auto"/>
        <w:jc w:val="center"/>
        <w:rPr>
          <w:rFonts w:cs="Times New Roman"/>
        </w:rPr>
      </w:pPr>
    </w:p>
    <w:p w:rsidR="005F0DF9" w:rsidRDefault="005F0DF9" w:rsidP="005F0DF9">
      <w:pPr>
        <w:spacing w:line="480" w:lineRule="auto"/>
        <w:jc w:val="center"/>
        <w:rPr>
          <w:rFonts w:cs="Times New Roman"/>
        </w:rPr>
      </w:pPr>
    </w:p>
    <w:p w:rsidR="005F0DF9" w:rsidRDefault="005F0DF9" w:rsidP="005F0DF9">
      <w:pPr>
        <w:spacing w:line="480" w:lineRule="auto"/>
        <w:jc w:val="center"/>
        <w:rPr>
          <w:rFonts w:cs="Times New Roman"/>
        </w:rPr>
      </w:pPr>
    </w:p>
    <w:p w:rsidR="005F0DF9" w:rsidRDefault="005F0DF9" w:rsidP="005F0DF9">
      <w:pPr>
        <w:spacing w:line="480" w:lineRule="auto"/>
        <w:jc w:val="center"/>
        <w:rPr>
          <w:rFonts w:cs="Times New Roman"/>
        </w:rPr>
      </w:pPr>
    </w:p>
    <w:p w:rsidR="005F0DF9" w:rsidRDefault="005F0DF9" w:rsidP="005F0DF9">
      <w:pPr>
        <w:spacing w:line="480" w:lineRule="auto"/>
        <w:jc w:val="center"/>
        <w:rPr>
          <w:rFonts w:cs="Times New Roman"/>
        </w:rPr>
      </w:pPr>
    </w:p>
    <w:p w:rsidR="005F0DF9" w:rsidRDefault="005F0DF9" w:rsidP="00240385">
      <w:pPr>
        <w:spacing w:line="480" w:lineRule="auto"/>
        <w:rPr>
          <w:rFonts w:cs="Times New Roman"/>
        </w:rPr>
      </w:pPr>
    </w:p>
    <w:p w:rsidR="00B43381" w:rsidRPr="005F0DF9" w:rsidRDefault="00B43381" w:rsidP="005F0DF9">
      <w:pPr>
        <w:spacing w:line="480" w:lineRule="auto"/>
        <w:jc w:val="center"/>
        <w:rPr>
          <w:rFonts w:cs="Times New Roman"/>
        </w:rPr>
      </w:pPr>
      <w:r w:rsidRPr="005F0DF9">
        <w:rPr>
          <w:rFonts w:cs="Times New Roman"/>
        </w:rPr>
        <w:lastRenderedPageBreak/>
        <w:t>Case 1 &amp; 2</w:t>
      </w:r>
    </w:p>
    <w:p w:rsidR="00266243" w:rsidRPr="005F0DF9" w:rsidRDefault="002E110F" w:rsidP="005F0DF9">
      <w:pPr>
        <w:spacing w:line="480" w:lineRule="auto"/>
        <w:jc w:val="center"/>
        <w:rPr>
          <w:rFonts w:cs="Times New Roman"/>
          <w:b/>
        </w:rPr>
      </w:pPr>
      <w:r w:rsidRPr="005F0DF9">
        <w:rPr>
          <w:rFonts w:cs="Times New Roman"/>
          <w:b/>
        </w:rPr>
        <w:t>Case 1</w:t>
      </w:r>
    </w:p>
    <w:p w:rsidR="002E110F" w:rsidRPr="005F0DF9" w:rsidRDefault="00240385" w:rsidP="005F0DF9">
      <w:pPr>
        <w:spacing w:line="480" w:lineRule="auto"/>
        <w:ind w:firstLine="720"/>
        <w:rPr>
          <w:rFonts w:cs="Times New Roman"/>
        </w:rPr>
      </w:pPr>
      <w:r>
        <w:rPr>
          <w:rFonts w:cs="Times New Roman"/>
        </w:rPr>
        <w:t xml:space="preserve">The authorities </w:t>
      </w:r>
      <w:r w:rsidR="002E110F" w:rsidRPr="005F0DF9">
        <w:rPr>
          <w:rFonts w:cs="Times New Roman"/>
        </w:rPr>
        <w:t>acted reasonably considering the violent nature of the protest.</w:t>
      </w:r>
      <w:r w:rsidR="00230D60" w:rsidRPr="005F0DF9">
        <w:rPr>
          <w:rFonts w:cs="Times New Roman"/>
        </w:rPr>
        <w:t xml:space="preserve"> According to section 2 of the Canadian charter of rights and freedoms, the citizens are guara</w:t>
      </w:r>
      <w:r>
        <w:rPr>
          <w:rFonts w:cs="Times New Roman"/>
        </w:rPr>
        <w:t>nteed right to peaceful protest</w:t>
      </w:r>
      <w:r w:rsidR="00D9785A">
        <w:rPr>
          <w:rFonts w:cs="Times New Roman"/>
        </w:rPr>
        <w:t xml:space="preserve"> </w:t>
      </w:r>
      <w:r>
        <w:rPr>
          <w:rFonts w:cs="Times New Roman"/>
        </w:rPr>
        <w:t>(Robertson, 2012)</w:t>
      </w:r>
      <w:r w:rsidR="00230D60" w:rsidRPr="005F0DF9">
        <w:rPr>
          <w:rFonts w:cs="Times New Roman"/>
        </w:rPr>
        <w:t>.</w:t>
      </w:r>
      <w:r>
        <w:rPr>
          <w:rFonts w:cs="Times New Roman"/>
        </w:rPr>
        <w:t xml:space="preserve"> However, if the protests turn to violence  and leads to </w:t>
      </w:r>
      <w:r w:rsidR="00526020" w:rsidRPr="005F0DF9">
        <w:rPr>
          <w:rFonts w:cs="Times New Roman"/>
        </w:rPr>
        <w:t xml:space="preserve">destruction of property and </w:t>
      </w:r>
      <w:r w:rsidR="00230D60" w:rsidRPr="005F0DF9">
        <w:rPr>
          <w:rFonts w:cs="Times New Roman"/>
        </w:rPr>
        <w:t xml:space="preserve">common nuisance like violating others people </w:t>
      </w:r>
      <w:r w:rsidRPr="005F0DF9">
        <w:rPr>
          <w:rFonts w:cs="Times New Roman"/>
        </w:rPr>
        <w:t>right</w:t>
      </w:r>
      <w:r>
        <w:rPr>
          <w:rFonts w:cs="Times New Roman"/>
        </w:rPr>
        <w:t xml:space="preserve">s, </w:t>
      </w:r>
      <w:r w:rsidRPr="005F0DF9">
        <w:rPr>
          <w:rFonts w:cs="Times New Roman"/>
        </w:rPr>
        <w:t>t</w:t>
      </w:r>
      <w:r>
        <w:rPr>
          <w:rFonts w:cs="Times New Roman"/>
        </w:rPr>
        <w:t>h</w:t>
      </w:r>
      <w:r w:rsidRPr="005F0DF9">
        <w:rPr>
          <w:rFonts w:cs="Times New Roman"/>
        </w:rPr>
        <w:t>en</w:t>
      </w:r>
      <w:r w:rsidR="00526020" w:rsidRPr="005F0DF9">
        <w:rPr>
          <w:rFonts w:cs="Times New Roman"/>
        </w:rPr>
        <w:t xml:space="preserve"> the police officers have the right to contain violent protestors through arrests or dispersing them by use of teargas. In the case, there were over 300 protestors and about 40 were aggressive. In a group of violent people, it is difficult to choose who is violent and who is not. Thus, for the police to </w:t>
      </w:r>
      <w:r w:rsidR="00014371" w:rsidRPr="005F0DF9">
        <w:rPr>
          <w:rFonts w:cs="Times New Roman"/>
        </w:rPr>
        <w:t>protect</w:t>
      </w:r>
      <w:r w:rsidR="00526020" w:rsidRPr="005F0DF9">
        <w:rPr>
          <w:rFonts w:cs="Times New Roman"/>
        </w:rPr>
        <w:t xml:space="preserve"> the ri</w:t>
      </w:r>
      <w:r w:rsidR="00014371" w:rsidRPr="005F0DF9">
        <w:rPr>
          <w:rFonts w:cs="Times New Roman"/>
        </w:rPr>
        <w:t>ght of other citizens</w:t>
      </w:r>
      <w:r>
        <w:rPr>
          <w:rFonts w:cs="Times New Roman"/>
        </w:rPr>
        <w:t>,</w:t>
      </w:r>
      <w:r w:rsidR="00014371" w:rsidRPr="005F0DF9">
        <w:rPr>
          <w:rFonts w:cs="Times New Roman"/>
        </w:rPr>
        <w:t xml:space="preserve"> they are allowed to conduct mass arrests of violent protestors. The rights for the police to arrest protestors without warrant are provided in section 49</w:t>
      </w:r>
      <w:r w:rsidR="00D9785A">
        <w:rPr>
          <w:rFonts w:cs="Times New Roman"/>
        </w:rPr>
        <w:t>5(Robertson, 2012)</w:t>
      </w:r>
      <w:r w:rsidR="00014371" w:rsidRPr="005F0DF9">
        <w:rPr>
          <w:rFonts w:cs="Times New Roman"/>
        </w:rPr>
        <w:t xml:space="preserve">. </w:t>
      </w:r>
      <w:r w:rsidR="00A7514E" w:rsidRPr="005F0DF9">
        <w:rPr>
          <w:rFonts w:cs="Times New Roman"/>
        </w:rPr>
        <w:t>Therefore, considering the nature of the violence, the police acted right</w:t>
      </w:r>
      <w:r>
        <w:rPr>
          <w:rFonts w:cs="Times New Roman"/>
        </w:rPr>
        <w:t>ly, rationally, ethically and morally in protecting other</w:t>
      </w:r>
      <w:r w:rsidR="00A7514E" w:rsidRPr="005F0DF9">
        <w:rPr>
          <w:rFonts w:cs="Times New Roman"/>
        </w:rPr>
        <w:t xml:space="preserve"> peoples’ rights and prevent</w:t>
      </w:r>
      <w:r>
        <w:rPr>
          <w:rFonts w:cs="Times New Roman"/>
        </w:rPr>
        <w:t>ing</w:t>
      </w:r>
      <w:r w:rsidR="00A7514E" w:rsidRPr="005F0DF9">
        <w:rPr>
          <w:rFonts w:cs="Times New Roman"/>
        </w:rPr>
        <w:t xml:space="preserve"> property destruction. </w:t>
      </w:r>
    </w:p>
    <w:p w:rsidR="00A7514E" w:rsidRPr="005F0DF9" w:rsidRDefault="00A7514E" w:rsidP="005F0DF9">
      <w:pPr>
        <w:spacing w:line="480" w:lineRule="auto"/>
        <w:jc w:val="center"/>
        <w:rPr>
          <w:rFonts w:cs="Times New Roman"/>
          <w:b/>
        </w:rPr>
      </w:pPr>
      <w:r w:rsidRPr="005F0DF9">
        <w:rPr>
          <w:rFonts w:cs="Times New Roman"/>
          <w:b/>
        </w:rPr>
        <w:t>Case 2</w:t>
      </w:r>
    </w:p>
    <w:p w:rsidR="00A7514E" w:rsidRPr="005F0DF9" w:rsidRDefault="00A7514E" w:rsidP="005F0DF9">
      <w:pPr>
        <w:spacing w:line="480" w:lineRule="auto"/>
        <w:ind w:firstLine="720"/>
        <w:rPr>
          <w:rFonts w:cs="Times New Roman"/>
        </w:rPr>
      </w:pPr>
      <w:r w:rsidRPr="005F0DF9">
        <w:rPr>
          <w:rFonts w:cs="Times New Roman"/>
        </w:rPr>
        <w:t>The</w:t>
      </w:r>
      <w:r w:rsidR="00240385">
        <w:rPr>
          <w:rFonts w:cs="Times New Roman"/>
        </w:rPr>
        <w:t xml:space="preserve"> speaker went too far,</w:t>
      </w:r>
      <w:r w:rsidRPr="005F0DF9">
        <w:rPr>
          <w:rFonts w:cs="Times New Roman"/>
        </w:rPr>
        <w:t xml:space="preserve"> should be charged with hate speech</w:t>
      </w:r>
      <w:r w:rsidR="00240385">
        <w:rPr>
          <w:rFonts w:cs="Times New Roman"/>
        </w:rPr>
        <w:t xml:space="preserve"> and should not be protected by the Charter</w:t>
      </w:r>
      <w:r w:rsidRPr="005F0DF9">
        <w:rPr>
          <w:rFonts w:cs="Times New Roman"/>
        </w:rPr>
        <w:t>.</w:t>
      </w:r>
      <w:r w:rsidR="00E57B3D" w:rsidRPr="005F0DF9">
        <w:rPr>
          <w:rFonts w:cs="Times New Roman"/>
        </w:rPr>
        <w:t xml:space="preserve"> According to section 1 of Canadian charter of rights and freedoms, the freedom of expression is guaranteed. However the rights to expre</w:t>
      </w:r>
      <w:r w:rsidR="00240385">
        <w:rPr>
          <w:rFonts w:cs="Times New Roman"/>
        </w:rPr>
        <w:t>ssion are limited for rational</w:t>
      </w:r>
      <w:r w:rsidR="00E57B3D" w:rsidRPr="005F0DF9">
        <w:rPr>
          <w:rFonts w:cs="Times New Roman"/>
        </w:rPr>
        <w:t xml:space="preserve"> reasons such as hate propagand</w:t>
      </w:r>
      <w:r w:rsidR="00240385">
        <w:rPr>
          <w:rFonts w:cs="Times New Roman"/>
        </w:rPr>
        <w:t>a(Maverick, 2018)</w:t>
      </w:r>
      <w:r w:rsidR="00240385" w:rsidRPr="005F0DF9">
        <w:rPr>
          <w:rFonts w:cs="Times New Roman"/>
        </w:rPr>
        <w:t>.</w:t>
      </w:r>
      <w:r w:rsidR="00E57B3D" w:rsidRPr="005F0DF9">
        <w:rPr>
          <w:rFonts w:cs="Times New Roman"/>
        </w:rPr>
        <w:t>When a political activist make derogatory remarks on Muslims and continues to make offensive remarks on a Muslim student</w:t>
      </w:r>
      <w:r w:rsidR="00240385">
        <w:rPr>
          <w:rFonts w:cs="Times New Roman"/>
        </w:rPr>
        <w:t>, then such</w:t>
      </w:r>
      <w:r w:rsidR="0053656A" w:rsidRPr="005F0DF9">
        <w:rPr>
          <w:rFonts w:cs="Times New Roman"/>
        </w:rPr>
        <w:t xml:space="preserve"> </w:t>
      </w:r>
      <w:r w:rsidR="00240385">
        <w:rPr>
          <w:rFonts w:cs="Times New Roman"/>
        </w:rPr>
        <w:t xml:space="preserve">an </w:t>
      </w:r>
      <w:r w:rsidR="0053656A" w:rsidRPr="005F0DF9">
        <w:rPr>
          <w:rFonts w:cs="Times New Roman"/>
        </w:rPr>
        <w:t>activist is abusing the rights of fundament</w:t>
      </w:r>
      <w:r w:rsidR="00240385">
        <w:rPr>
          <w:rFonts w:cs="Times New Roman"/>
        </w:rPr>
        <w:t>al freedom provided in section 2(Maverick, 2018)</w:t>
      </w:r>
      <w:r w:rsidR="0053656A" w:rsidRPr="005F0DF9">
        <w:rPr>
          <w:rFonts w:cs="Times New Roman"/>
        </w:rPr>
        <w:t xml:space="preserve">. All citizens have a right to conscience and follow the religion of their choice. Furthermore, </w:t>
      </w:r>
      <w:r w:rsidR="00240385">
        <w:rPr>
          <w:rFonts w:cs="Times New Roman"/>
        </w:rPr>
        <w:t xml:space="preserve">hate speech is </w:t>
      </w:r>
      <w:r w:rsidR="00240385">
        <w:rPr>
          <w:rFonts w:cs="Times New Roman"/>
        </w:rPr>
        <w:lastRenderedPageBreak/>
        <w:t>criminalized in t</w:t>
      </w:r>
      <w:r w:rsidR="0053656A" w:rsidRPr="005F0DF9">
        <w:rPr>
          <w:rFonts w:cs="Times New Roman"/>
        </w:rPr>
        <w:t>he Criminal Code of Canada in section 31</w:t>
      </w:r>
      <w:r w:rsidR="00240385">
        <w:rPr>
          <w:rFonts w:cs="Times New Roman"/>
        </w:rPr>
        <w:t>9</w:t>
      </w:r>
      <w:r w:rsidR="0053656A" w:rsidRPr="005F0DF9">
        <w:rPr>
          <w:rFonts w:cs="Times New Roman"/>
        </w:rPr>
        <w:t>. The policy protects citizens against racism and bigotry. Therefore, since the political activist violates the rights of the Muslims by making offensive remarks of a Muslim girl and Muslim</w:t>
      </w:r>
      <w:r w:rsidR="005055CC" w:rsidRPr="005F0DF9">
        <w:rPr>
          <w:rFonts w:cs="Times New Roman"/>
        </w:rPr>
        <w:t xml:space="preserve"> religion as a group, she should </w:t>
      </w:r>
      <w:r w:rsidR="0053656A" w:rsidRPr="005F0DF9">
        <w:rPr>
          <w:rFonts w:cs="Times New Roman"/>
        </w:rPr>
        <w:t xml:space="preserve">be arrested </w:t>
      </w:r>
      <w:r w:rsidR="005055CC" w:rsidRPr="005F0DF9">
        <w:rPr>
          <w:rFonts w:cs="Times New Roman"/>
        </w:rPr>
        <w:t>for hate speech.</w:t>
      </w: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B43381">
      <w:pPr>
        <w:spacing w:line="480" w:lineRule="auto"/>
        <w:jc w:val="center"/>
        <w:rPr>
          <w:rFonts w:cs="Times New Roman"/>
        </w:rPr>
      </w:pPr>
    </w:p>
    <w:p w:rsidR="005F0DF9" w:rsidRDefault="005F0DF9" w:rsidP="00D9785A">
      <w:pPr>
        <w:spacing w:line="480" w:lineRule="auto"/>
        <w:rPr>
          <w:rFonts w:cs="Times New Roman"/>
        </w:rPr>
      </w:pPr>
    </w:p>
    <w:p w:rsidR="00B43381" w:rsidRPr="005F0DF9" w:rsidRDefault="00B43381" w:rsidP="00B43381">
      <w:pPr>
        <w:spacing w:line="480" w:lineRule="auto"/>
        <w:jc w:val="center"/>
        <w:rPr>
          <w:rFonts w:cs="Times New Roman"/>
        </w:rPr>
      </w:pPr>
      <w:r w:rsidRPr="005F0DF9">
        <w:rPr>
          <w:rFonts w:cs="Times New Roman"/>
        </w:rPr>
        <w:lastRenderedPageBreak/>
        <w:t>References</w:t>
      </w:r>
    </w:p>
    <w:p w:rsidR="00B43381" w:rsidRPr="00240385" w:rsidRDefault="00D70621" w:rsidP="00B43381">
      <w:pPr>
        <w:pStyle w:val="Bibliography"/>
        <w:spacing w:line="480" w:lineRule="auto"/>
        <w:ind w:left="720" w:hanging="720"/>
        <w:rPr>
          <w:rFonts w:cs="Times New Roman"/>
          <w:noProof/>
        </w:rPr>
      </w:pPr>
      <w:r w:rsidRPr="005F0DF9">
        <w:rPr>
          <w:rFonts w:cs="Times New Roman"/>
        </w:rPr>
        <w:fldChar w:fldCharType="begin"/>
      </w:r>
      <w:r w:rsidR="00B43381" w:rsidRPr="005F0DF9">
        <w:rPr>
          <w:rFonts w:cs="Times New Roman"/>
        </w:rPr>
        <w:instrText xml:space="preserve"> BIBLIOGRAPHY  \l 1033 </w:instrText>
      </w:r>
      <w:r w:rsidRPr="005F0DF9">
        <w:rPr>
          <w:rFonts w:cs="Times New Roman"/>
        </w:rPr>
        <w:fldChar w:fldCharType="separate"/>
      </w:r>
      <w:r w:rsidR="00240385">
        <w:rPr>
          <w:rFonts w:cs="Times New Roman"/>
          <w:noProof/>
        </w:rPr>
        <w:t>Maverick, L. (2018)</w:t>
      </w:r>
      <w:r w:rsidR="00B43381" w:rsidRPr="005F0DF9">
        <w:rPr>
          <w:rFonts w:cs="Times New Roman"/>
          <w:noProof/>
        </w:rPr>
        <w:t xml:space="preserve">. "A Canadian's Perspective: Freedom of Speech Laws in Canada." </w:t>
      </w:r>
      <w:r w:rsidR="00B43381" w:rsidRPr="00240385">
        <w:rPr>
          <w:rFonts w:cs="Times New Roman"/>
          <w:noProof/>
        </w:rPr>
        <w:t xml:space="preserve">The Free Press </w:t>
      </w:r>
      <w:r w:rsidR="00240385" w:rsidRPr="00240385">
        <w:rPr>
          <w:rFonts w:cs="Times New Roman"/>
          <w:noProof/>
        </w:rPr>
        <w:t>.</w:t>
      </w:r>
    </w:p>
    <w:p w:rsidR="00B43381" w:rsidRPr="00240385" w:rsidRDefault="00B43381" w:rsidP="00B43381">
      <w:pPr>
        <w:pStyle w:val="Bibliography"/>
        <w:spacing w:line="480" w:lineRule="auto"/>
        <w:ind w:left="720" w:hanging="720"/>
        <w:rPr>
          <w:rFonts w:cs="Times New Roman"/>
          <w:noProof/>
        </w:rPr>
      </w:pPr>
      <w:r w:rsidRPr="00240385">
        <w:rPr>
          <w:rFonts w:cs="Times New Roman"/>
          <w:noProof/>
        </w:rPr>
        <w:t>Robertson, N</w:t>
      </w:r>
      <w:r w:rsidR="00240385" w:rsidRPr="00240385">
        <w:rPr>
          <w:rFonts w:cs="Times New Roman"/>
          <w:noProof/>
        </w:rPr>
        <w:t>.(2012)</w:t>
      </w:r>
      <w:r w:rsidRPr="00240385">
        <w:rPr>
          <w:rFonts w:cs="Times New Roman"/>
          <w:noProof/>
        </w:rPr>
        <w:t xml:space="preserve">. "Policing: Fundamental principles in a Canadian Context." </w:t>
      </w:r>
      <w:r w:rsidRPr="00240385">
        <w:rPr>
          <w:rFonts w:cs="Times New Roman"/>
          <w:i/>
          <w:noProof/>
        </w:rPr>
        <w:t>Journal of Canadian Studies</w:t>
      </w:r>
      <w:r w:rsidR="00240385" w:rsidRPr="00240385">
        <w:rPr>
          <w:rFonts w:cs="Times New Roman"/>
          <w:i/>
          <w:noProof/>
        </w:rPr>
        <w:t>.</w:t>
      </w:r>
    </w:p>
    <w:p w:rsidR="00B43381" w:rsidRPr="005055CC" w:rsidRDefault="00D70621" w:rsidP="00B43381">
      <w:pPr>
        <w:spacing w:line="480" w:lineRule="auto"/>
        <w:ind w:left="720" w:hanging="720"/>
        <w:rPr>
          <w:rFonts w:cs="Times New Roman"/>
        </w:rPr>
      </w:pPr>
      <w:r w:rsidRPr="005F0DF9">
        <w:rPr>
          <w:rFonts w:cs="Times New Roman"/>
        </w:rPr>
        <w:fldChar w:fldCharType="end"/>
      </w:r>
    </w:p>
    <w:sectPr w:rsidR="00B43381" w:rsidRPr="005055CC" w:rsidSect="00B433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CBB" w:rsidRDefault="00995CBB" w:rsidP="00B43381">
      <w:pPr>
        <w:spacing w:after="0" w:line="240" w:lineRule="auto"/>
      </w:pPr>
      <w:r>
        <w:separator/>
      </w:r>
    </w:p>
  </w:endnote>
  <w:endnote w:type="continuationSeparator" w:id="1">
    <w:p w:rsidR="00995CBB" w:rsidRDefault="00995CBB" w:rsidP="00B43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CBB" w:rsidRDefault="00995CBB" w:rsidP="00B43381">
      <w:pPr>
        <w:spacing w:after="0" w:line="240" w:lineRule="auto"/>
      </w:pPr>
      <w:r>
        <w:separator/>
      </w:r>
    </w:p>
  </w:footnote>
  <w:footnote w:type="continuationSeparator" w:id="1">
    <w:p w:rsidR="00995CBB" w:rsidRDefault="00995CBB" w:rsidP="00B433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F9" w:rsidRDefault="005F0DF9">
    <w:pPr>
      <w:pStyle w:val="Header"/>
      <w:jc w:val="right"/>
    </w:pPr>
    <w:r>
      <w:t xml:space="preserve">CASE 1 &amp; </w:t>
    </w:r>
    <w:r>
      <w:rPr>
        <w:rFonts w:cs="Times New Roman"/>
      </w:rPr>
      <w:t xml:space="preserve">2                                                                                                          </w:t>
    </w:r>
    <w:r>
      <w:rPr>
        <w:rFonts w:ascii="Calibri" w:hAnsi="Calibri"/>
      </w:rPr>
      <w:t xml:space="preserve">                              </w:t>
    </w:r>
    <w:sdt>
      <w:sdtPr>
        <w:id w:val="14651686"/>
        <w:docPartObj>
          <w:docPartGallery w:val="Page Numbers (Top of Page)"/>
          <w:docPartUnique/>
        </w:docPartObj>
      </w:sdtPr>
      <w:sdtContent>
        <w:fldSimple w:instr=" PAGE   \* MERGEFORMAT ">
          <w:r w:rsidR="00A636EF">
            <w:rPr>
              <w:noProof/>
            </w:rPr>
            <w:t>2</w:t>
          </w:r>
        </w:fldSimple>
      </w:sdtContent>
    </w:sdt>
  </w:p>
  <w:p w:rsidR="00B43381" w:rsidRDefault="00B433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381" w:rsidRDefault="00B43381">
    <w:pPr>
      <w:pStyle w:val="Header"/>
      <w:jc w:val="right"/>
    </w:pPr>
    <w:r>
      <w:t xml:space="preserve">Running head: CASE 1 &amp; 2                                                                                                             </w:t>
    </w:r>
    <w:sdt>
      <w:sdtPr>
        <w:id w:val="14651504"/>
        <w:docPartObj>
          <w:docPartGallery w:val="Page Numbers (Top of Page)"/>
          <w:docPartUnique/>
        </w:docPartObj>
      </w:sdtPr>
      <w:sdtContent>
        <w:fldSimple w:instr=" PAGE   \* MERGEFORMAT ">
          <w:r w:rsidR="00A636EF">
            <w:rPr>
              <w:noProof/>
            </w:rPr>
            <w:t>1</w:t>
          </w:r>
        </w:fldSimple>
      </w:sdtContent>
    </w:sdt>
  </w:p>
  <w:p w:rsidR="00B43381" w:rsidRDefault="00B433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72237"/>
    <w:rsid w:val="00014371"/>
    <w:rsid w:val="00044028"/>
    <w:rsid w:val="00072237"/>
    <w:rsid w:val="001035A8"/>
    <w:rsid w:val="00230D60"/>
    <w:rsid w:val="00240385"/>
    <w:rsid w:val="00266243"/>
    <w:rsid w:val="002A1CB6"/>
    <w:rsid w:val="002E110F"/>
    <w:rsid w:val="00341C92"/>
    <w:rsid w:val="00362784"/>
    <w:rsid w:val="004D57DA"/>
    <w:rsid w:val="005055CC"/>
    <w:rsid w:val="00526020"/>
    <w:rsid w:val="0053656A"/>
    <w:rsid w:val="005F0DF9"/>
    <w:rsid w:val="00994E35"/>
    <w:rsid w:val="00995CBB"/>
    <w:rsid w:val="00A636EF"/>
    <w:rsid w:val="00A7514E"/>
    <w:rsid w:val="00B43381"/>
    <w:rsid w:val="00D46369"/>
    <w:rsid w:val="00D70621"/>
    <w:rsid w:val="00D9785A"/>
    <w:rsid w:val="00E57B3D"/>
    <w:rsid w:val="00F037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3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381"/>
    <w:rPr>
      <w:rFonts w:ascii="Tahoma" w:hAnsi="Tahoma" w:cs="Tahoma"/>
      <w:sz w:val="16"/>
      <w:szCs w:val="16"/>
    </w:rPr>
  </w:style>
  <w:style w:type="paragraph" w:styleId="Bibliography">
    <w:name w:val="Bibliography"/>
    <w:basedOn w:val="Normal"/>
    <w:next w:val="Normal"/>
    <w:uiPriority w:val="37"/>
    <w:unhideWhenUsed/>
    <w:rsid w:val="00B43381"/>
  </w:style>
  <w:style w:type="paragraph" w:styleId="Header">
    <w:name w:val="header"/>
    <w:basedOn w:val="Normal"/>
    <w:link w:val="HeaderChar"/>
    <w:uiPriority w:val="99"/>
    <w:unhideWhenUsed/>
    <w:rsid w:val="00B433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381"/>
  </w:style>
  <w:style w:type="paragraph" w:styleId="Footer">
    <w:name w:val="footer"/>
    <w:basedOn w:val="Normal"/>
    <w:link w:val="FooterChar"/>
    <w:uiPriority w:val="99"/>
    <w:semiHidden/>
    <w:unhideWhenUsed/>
    <w:rsid w:val="00B433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338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Mav18</b:Tag>
    <b:SourceType>JournalArticle</b:SourceType>
    <b:Guid>{EDB66DB3-7760-48CF-BAB6-59DBF0A1C2F3}</b:Guid>
    <b:LCID>0</b:LCID>
    <b:Author>
      <b:Author>
        <b:NameList>
          <b:Person>
            <b:Last>Maverick</b:Last>
            <b:First>Lynes</b:First>
            <b:Middle>A.</b:Middle>
          </b:Person>
        </b:NameList>
      </b:Author>
    </b:Author>
    <b:Title>A Canadian's Perspective: Freedom of Speech Laws in Canada</b:Title>
    <b:JournalName>The Free Press</b:JournalName>
    <b:Year>2018</b:Year>
    <b:Pages>2-7</b:Pages>
    <b:RefOrder>2</b:RefOrder>
  </b:Source>
  <b:Source>
    <b:Tag>Rob12</b:Tag>
    <b:SourceType>JournalArticle</b:SourceType>
    <b:Guid>{6AF572B7-52E2-4AA6-B478-7341233A6BD9}</b:Guid>
    <b:LCID>0</b:LCID>
    <b:Author>
      <b:Author>
        <b:NameList>
          <b:Person>
            <b:Last>Robertson</b:Last>
            <b:First>N.</b:First>
          </b:Person>
        </b:NameList>
      </b:Author>
    </b:Author>
    <b:Title>Policing: Fundamental principles in a Canadian Context</b:Title>
    <b:JournalName>Journal of Canadian Studies</b:JournalName>
    <b:Year>2012</b:Year>
    <b:Pages>12-18</b:Pages>
    <b:RefOrder>1</b:RefOrder>
  </b:Source>
</b:Sources>
</file>

<file path=customXml/itemProps1.xml><?xml version="1.0" encoding="utf-8"?>
<ds:datastoreItem xmlns:ds="http://schemas.openxmlformats.org/officeDocument/2006/customXml" ds:itemID="{BB6DBF95-9FB5-4EAD-A184-462514981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2018-12-13T12:57:00Z</dcterms:created>
  <dcterms:modified xsi:type="dcterms:W3CDTF">2018-12-13T12:57:00Z</dcterms:modified>
</cp:coreProperties>
</file>